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936" w:type="dxa"/>
        <w:tblInd w:w="103" w:type="dxa"/>
        <w:tblLook w:val="04A0"/>
      </w:tblPr>
      <w:tblGrid>
        <w:gridCol w:w="580"/>
        <w:gridCol w:w="2780"/>
        <w:gridCol w:w="5576"/>
      </w:tblGrid>
      <w:tr w:rsidR="00A749B4" w:rsidRPr="00A749B4" w:rsidTr="00A749B4">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49B4" w:rsidRPr="00A749B4" w:rsidRDefault="00A749B4" w:rsidP="00A749B4">
            <w:pPr>
              <w:spacing w:after="0" w:line="240" w:lineRule="auto"/>
              <w:jc w:val="center"/>
              <w:rPr>
                <w:rFonts w:ascii="Times New Roman" w:eastAsia="Times New Roman" w:hAnsi="Times New Roman" w:cs="Times New Roman"/>
                <w:b/>
                <w:bCs/>
                <w:color w:val="000000"/>
                <w:lang w:eastAsia="id-ID"/>
              </w:rPr>
            </w:pPr>
            <w:r w:rsidRPr="00A749B4">
              <w:rPr>
                <w:rFonts w:ascii="Times New Roman" w:eastAsia="Times New Roman" w:hAnsi="Times New Roman" w:cs="Times New Roman"/>
                <w:b/>
                <w:bCs/>
                <w:color w:val="000000"/>
                <w:lang w:eastAsia="id-ID"/>
              </w:rPr>
              <w:t>No</w:t>
            </w:r>
          </w:p>
        </w:tc>
        <w:tc>
          <w:tcPr>
            <w:tcW w:w="2780" w:type="dxa"/>
            <w:tcBorders>
              <w:top w:val="single" w:sz="4" w:space="0" w:color="auto"/>
              <w:left w:val="nil"/>
              <w:bottom w:val="single" w:sz="4" w:space="0" w:color="auto"/>
              <w:right w:val="single" w:sz="4" w:space="0" w:color="auto"/>
            </w:tcBorders>
            <w:shd w:val="clear" w:color="auto" w:fill="auto"/>
            <w:noWrap/>
            <w:vAlign w:val="center"/>
            <w:hideMark/>
          </w:tcPr>
          <w:p w:rsidR="00A749B4" w:rsidRPr="00A749B4" w:rsidRDefault="00A749B4" w:rsidP="00A749B4">
            <w:pPr>
              <w:spacing w:after="0" w:line="240" w:lineRule="auto"/>
              <w:jc w:val="center"/>
              <w:rPr>
                <w:rFonts w:ascii="Times New Roman" w:eastAsia="Times New Roman" w:hAnsi="Times New Roman" w:cs="Times New Roman"/>
                <w:b/>
                <w:bCs/>
                <w:color w:val="000000"/>
                <w:lang w:eastAsia="id-ID"/>
              </w:rPr>
            </w:pPr>
            <w:r w:rsidRPr="00A749B4">
              <w:rPr>
                <w:rFonts w:ascii="Times New Roman" w:eastAsia="Times New Roman" w:hAnsi="Times New Roman" w:cs="Times New Roman"/>
                <w:b/>
                <w:bCs/>
                <w:color w:val="000000"/>
                <w:lang w:eastAsia="id-ID"/>
              </w:rPr>
              <w:t>Sumber Data</w:t>
            </w:r>
          </w:p>
        </w:tc>
        <w:tc>
          <w:tcPr>
            <w:tcW w:w="5576" w:type="dxa"/>
            <w:tcBorders>
              <w:top w:val="single" w:sz="4" w:space="0" w:color="auto"/>
              <w:left w:val="nil"/>
              <w:bottom w:val="single" w:sz="4" w:space="0" w:color="auto"/>
              <w:right w:val="single" w:sz="4" w:space="0" w:color="auto"/>
            </w:tcBorders>
            <w:shd w:val="clear" w:color="auto" w:fill="auto"/>
            <w:vAlign w:val="center"/>
            <w:hideMark/>
          </w:tcPr>
          <w:p w:rsidR="00A749B4" w:rsidRPr="00A749B4" w:rsidRDefault="00A749B4" w:rsidP="00A749B4">
            <w:pPr>
              <w:spacing w:after="0" w:line="240" w:lineRule="auto"/>
              <w:jc w:val="center"/>
              <w:rPr>
                <w:rFonts w:ascii="Times New Roman" w:eastAsia="Times New Roman" w:hAnsi="Times New Roman" w:cs="Times New Roman"/>
                <w:b/>
                <w:bCs/>
                <w:color w:val="000000"/>
                <w:lang w:eastAsia="id-ID"/>
              </w:rPr>
            </w:pPr>
            <w:r w:rsidRPr="00A749B4">
              <w:rPr>
                <w:rFonts w:ascii="Times New Roman" w:eastAsia="Times New Roman" w:hAnsi="Times New Roman" w:cs="Times New Roman"/>
                <w:b/>
                <w:bCs/>
                <w:color w:val="000000"/>
                <w:lang w:eastAsia="id-ID"/>
              </w:rPr>
              <w:t>Field Note</w:t>
            </w:r>
          </w:p>
        </w:tc>
      </w:tr>
      <w:tr w:rsidR="00A749B4" w:rsidRPr="00A749B4" w:rsidTr="00A749B4">
        <w:trPr>
          <w:trHeight w:val="27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749B4" w:rsidRPr="00A749B4" w:rsidRDefault="00A749B4" w:rsidP="00A749B4">
            <w:pPr>
              <w:spacing w:after="0" w:line="240" w:lineRule="auto"/>
              <w:jc w:val="center"/>
              <w:rPr>
                <w:rFonts w:ascii="Times New Roman" w:eastAsia="Times New Roman" w:hAnsi="Times New Roman" w:cs="Times New Roman"/>
                <w:color w:val="000000"/>
                <w:lang w:eastAsia="id-ID"/>
              </w:rPr>
            </w:pPr>
            <w:r w:rsidRPr="00A749B4">
              <w:rPr>
                <w:rFonts w:ascii="Times New Roman" w:eastAsia="Times New Roman" w:hAnsi="Times New Roman" w:cs="Times New Roman"/>
                <w:color w:val="000000"/>
                <w:lang w:eastAsia="id-ID"/>
              </w:rPr>
              <w:t>1</w:t>
            </w:r>
          </w:p>
        </w:tc>
        <w:tc>
          <w:tcPr>
            <w:tcW w:w="2780" w:type="dxa"/>
            <w:tcBorders>
              <w:top w:val="nil"/>
              <w:left w:val="nil"/>
              <w:bottom w:val="single" w:sz="4" w:space="0" w:color="auto"/>
              <w:right w:val="single" w:sz="4" w:space="0" w:color="auto"/>
            </w:tcBorders>
            <w:shd w:val="clear" w:color="auto" w:fill="auto"/>
            <w:noWrap/>
            <w:vAlign w:val="center"/>
            <w:hideMark/>
          </w:tcPr>
          <w:p w:rsidR="00A749B4" w:rsidRPr="00A749B4" w:rsidRDefault="00A749B4" w:rsidP="00A749B4">
            <w:pPr>
              <w:spacing w:after="0" w:line="240" w:lineRule="auto"/>
              <w:jc w:val="center"/>
              <w:rPr>
                <w:rFonts w:ascii="Times New Roman" w:eastAsia="Times New Roman" w:hAnsi="Times New Roman" w:cs="Times New Roman"/>
                <w:color w:val="000000"/>
                <w:lang w:eastAsia="id-ID"/>
              </w:rPr>
            </w:pPr>
            <w:r w:rsidRPr="00A749B4">
              <w:rPr>
                <w:rFonts w:ascii="Times New Roman" w:eastAsia="Times New Roman" w:hAnsi="Times New Roman" w:cs="Times New Roman"/>
                <w:color w:val="000000"/>
                <w:lang w:eastAsia="id-ID"/>
              </w:rPr>
              <w:t>LSM</w:t>
            </w:r>
          </w:p>
        </w:tc>
        <w:tc>
          <w:tcPr>
            <w:tcW w:w="5576" w:type="dxa"/>
            <w:tcBorders>
              <w:top w:val="nil"/>
              <w:left w:val="nil"/>
              <w:bottom w:val="single" w:sz="4" w:space="0" w:color="auto"/>
              <w:right w:val="single" w:sz="4" w:space="0" w:color="auto"/>
            </w:tcBorders>
            <w:shd w:val="clear" w:color="auto" w:fill="auto"/>
            <w:vAlign w:val="center"/>
            <w:hideMark/>
          </w:tcPr>
          <w:p w:rsidR="00A749B4" w:rsidRPr="00A749B4" w:rsidRDefault="00A749B4" w:rsidP="00D46E6A">
            <w:pPr>
              <w:spacing w:after="0" w:line="240" w:lineRule="auto"/>
              <w:jc w:val="both"/>
              <w:rPr>
                <w:rFonts w:ascii="Times New Roman" w:eastAsia="Times New Roman" w:hAnsi="Times New Roman" w:cs="Times New Roman"/>
                <w:color w:val="000000"/>
                <w:lang w:eastAsia="id-ID"/>
              </w:rPr>
            </w:pPr>
            <w:r w:rsidRPr="00A749B4">
              <w:rPr>
                <w:rFonts w:ascii="Times New Roman" w:eastAsia="Times New Roman" w:hAnsi="Times New Roman" w:cs="Times New Roman"/>
                <w:color w:val="000000"/>
                <w:lang w:eastAsia="id-ID"/>
              </w:rPr>
              <w:t>Wawancara LSM di Kabupaten Pelalawan dilakukan bersama dengan Kabupaten Siak karena LSM yang ditemui berada dalam satu jaringan yaitu Scale Up, Jikalahari, Walhi, LBH Pekanbaru, Transparency International Indonesia Riau Office, sehingga ada beberapa hasil wawancara yang sama di Kab. Siak dan Palalawan (Jika kasusnya sama)</w:t>
            </w:r>
          </w:p>
        </w:tc>
      </w:tr>
    </w:tbl>
    <w:p w:rsidR="00D74DB4" w:rsidRDefault="00D74DB4"/>
    <w:sectPr w:rsidR="00D74DB4" w:rsidSect="00D74DB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D0140"/>
    <w:rsid w:val="0026067C"/>
    <w:rsid w:val="00322C65"/>
    <w:rsid w:val="004165D1"/>
    <w:rsid w:val="004967FD"/>
    <w:rsid w:val="006E5970"/>
    <w:rsid w:val="00925800"/>
    <w:rsid w:val="00A749B4"/>
    <w:rsid w:val="00AD0140"/>
    <w:rsid w:val="00D46E6A"/>
    <w:rsid w:val="00D74DB4"/>
    <w:rsid w:val="00F76A7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2524378">
      <w:bodyDiv w:val="1"/>
      <w:marLeft w:val="0"/>
      <w:marRight w:val="0"/>
      <w:marTop w:val="0"/>
      <w:marBottom w:val="0"/>
      <w:divBdr>
        <w:top w:val="none" w:sz="0" w:space="0" w:color="auto"/>
        <w:left w:val="none" w:sz="0" w:space="0" w:color="auto"/>
        <w:bottom w:val="none" w:sz="0" w:space="0" w:color="auto"/>
        <w:right w:val="none" w:sz="0" w:space="0" w:color="auto"/>
      </w:divBdr>
    </w:div>
    <w:div w:id="157123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53</Words>
  <Characters>306</Characters>
  <Application>Microsoft Office Word</Application>
  <DocSecurity>0</DocSecurity>
  <Lines>2</Lines>
  <Paragraphs>1</Paragraphs>
  <ScaleCrop>false</ScaleCrop>
  <Company/>
  <LinksUpToDate>false</LinksUpToDate>
  <CharactersWithSpaces>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2012-10-16T02:32:00Z</dcterms:created>
  <dcterms:modified xsi:type="dcterms:W3CDTF">2012-10-17T00:42:00Z</dcterms:modified>
</cp:coreProperties>
</file>